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ED778">
      <w:pPr>
        <w:rPr>
          <w:rFonts w:hint="default"/>
          <w:lang w:val="en-US"/>
        </w:rPr>
      </w:pPr>
      <w:r>
        <w:rPr>
          <w:rFonts w:hint="default"/>
          <w:lang w:val="en-US"/>
        </w:rPr>
        <w:t>There are several issues with the rate increase. First off, it is clearly targeted at residential customers. There is a significant rate difference between the residential and non-residential proposed rates. This rate increase is starkly visible for smaller meters 5/8”, 3/4” and 1” lines that you would expect for a house or small building. For example, at 10,000 gallons, the rate for residential 3/4” meter is $121.08 and non-residential is $89.37. this is an increase up from $68.58.</w:t>
      </w:r>
    </w:p>
    <w:p w14:paraId="1E034362">
      <w:pPr>
        <w:rPr>
          <w:rFonts w:hint="default"/>
          <w:lang w:val="en-US"/>
        </w:rPr>
      </w:pPr>
    </w:p>
    <w:p w14:paraId="56A37C0B">
      <w:pPr>
        <w:rPr>
          <w:rFonts w:hint="default"/>
          <w:lang w:val="en-US"/>
        </w:rPr>
      </w:pPr>
      <w:r>
        <w:rPr>
          <w:rFonts w:hint="default"/>
          <w:lang w:val="en-US"/>
        </w:rPr>
        <w:t xml:space="preserve"> Secondly, the rates, by their own admission, would go up between %56-76 for residential users of 3/4” in meters, and slightly lower for 5/8” meter users. However, the rates for larger meters are being reduced. This seems to shift the burden onto the residential user and away from larger users, presumably companies in the area. I realize that there are likely rising costs, however this lump sum increase seems excessive. </w:t>
      </w:r>
    </w:p>
    <w:p w14:paraId="7A59D1A0">
      <w:pPr>
        <w:rPr>
          <w:rFonts w:hint="default"/>
          <w:lang w:val="en-US"/>
        </w:rPr>
      </w:pPr>
    </w:p>
    <w:p w14:paraId="1135B56D">
      <w:pPr>
        <w:rPr>
          <w:rFonts w:hint="default"/>
          <w:lang w:val="en-US"/>
        </w:rPr>
      </w:pPr>
      <w:r>
        <w:rPr>
          <w:rFonts w:hint="default"/>
          <w:lang w:val="en-US"/>
        </w:rPr>
        <w:t xml:space="preserve">Thirdly is the tiered pricing for consumption. We would be going from a flat rate of $3.70 per thousand to a tiered system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840"/>
        <w:gridCol w:w="2841"/>
        <w:gridCol w:w="2841"/>
      </w:tblGrid>
      <w:tr w14:paraId="1675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tcPr>
          <w:p w14:paraId="1E94585F">
            <w:pPr>
              <w:rPr>
                <w:rFonts w:hint="default"/>
                <w:vertAlign w:val="baseline"/>
                <w:lang w:val="en-US"/>
              </w:rPr>
            </w:pPr>
            <w:r>
              <w:rPr>
                <w:rFonts w:hint="default"/>
                <w:vertAlign w:val="baseline"/>
                <w:lang w:val="en-US"/>
              </w:rPr>
              <w:t>Monthly usage</w:t>
            </w:r>
          </w:p>
        </w:tc>
        <w:tc>
          <w:tcPr>
            <w:tcW w:w="2841" w:type="dxa"/>
          </w:tcPr>
          <w:p w14:paraId="0D4ED2C4">
            <w:pPr>
              <w:rPr>
                <w:rFonts w:hint="default"/>
                <w:vertAlign w:val="baseline"/>
                <w:lang w:val="en-US"/>
              </w:rPr>
            </w:pPr>
            <w:r>
              <w:rPr>
                <w:rFonts w:hint="default"/>
                <w:vertAlign w:val="baseline"/>
                <w:lang w:val="en-US"/>
              </w:rPr>
              <w:t>Residential</w:t>
            </w:r>
          </w:p>
        </w:tc>
        <w:tc>
          <w:tcPr>
            <w:tcW w:w="2841" w:type="dxa"/>
          </w:tcPr>
          <w:p w14:paraId="42A59687">
            <w:pPr>
              <w:rPr>
                <w:rFonts w:hint="default"/>
                <w:vertAlign w:val="baseline"/>
                <w:lang w:val="en-US"/>
              </w:rPr>
            </w:pPr>
            <w:r>
              <w:rPr>
                <w:rFonts w:hint="default"/>
                <w:vertAlign w:val="baseline"/>
                <w:lang w:val="en-US"/>
              </w:rPr>
              <w:t>Non-residential</w:t>
            </w:r>
          </w:p>
        </w:tc>
      </w:tr>
      <w:tr w14:paraId="213C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shd w:val="clear"/>
            <w:vAlign w:val="top"/>
          </w:tcPr>
          <w:p w14:paraId="26B76B76">
            <w:pPr>
              <w:rPr>
                <w:rFonts w:hint="default" w:asciiTheme="minorHAnsi" w:hAnsiTheme="minorHAnsi" w:eastAsiaTheme="minorEastAsia" w:cstheme="minorBidi"/>
                <w:vertAlign w:val="baseline"/>
                <w:lang w:val="en-US" w:eastAsia="zh-CN" w:bidi="ar-SA"/>
              </w:rPr>
            </w:pPr>
            <w:r>
              <w:rPr>
                <w:rFonts w:hint="default"/>
                <w:vertAlign w:val="baseline"/>
                <w:lang w:val="en-US"/>
              </w:rPr>
              <w:t>0-5,000 gallons</w:t>
            </w:r>
          </w:p>
        </w:tc>
        <w:tc>
          <w:tcPr>
            <w:tcW w:w="2841" w:type="dxa"/>
            <w:shd w:val="clear"/>
            <w:vAlign w:val="top"/>
          </w:tcPr>
          <w:p w14:paraId="45FE2642">
            <w:pPr>
              <w:rPr>
                <w:rFonts w:hint="default" w:asciiTheme="minorHAnsi" w:hAnsiTheme="minorHAnsi" w:eastAsiaTheme="minorEastAsia" w:cstheme="minorBidi"/>
                <w:vertAlign w:val="baseline"/>
                <w:lang w:val="en-US" w:eastAsia="zh-CN" w:bidi="ar-SA"/>
              </w:rPr>
            </w:pPr>
            <w:r>
              <w:rPr>
                <w:rFonts w:hint="default"/>
                <w:vertAlign w:val="baseline"/>
                <w:lang w:val="en-US"/>
              </w:rPr>
              <w:t>$5.498/thousand gallons</w:t>
            </w:r>
          </w:p>
        </w:tc>
        <w:tc>
          <w:tcPr>
            <w:tcW w:w="2841" w:type="dxa"/>
            <w:shd w:val="clear" w:color="auto" w:fill="auto"/>
            <w:vAlign w:val="top"/>
          </w:tcPr>
          <w:p w14:paraId="3A080037">
            <w:pPr>
              <w:rPr>
                <w:rFonts w:hint="default" w:asciiTheme="minorHAnsi" w:hAnsiTheme="minorHAnsi" w:eastAsiaTheme="minorEastAsia" w:cstheme="minorBidi"/>
                <w:vertAlign w:val="baseline"/>
                <w:lang w:val="en-US" w:eastAsia="zh-CN" w:bidi="ar-SA"/>
              </w:rPr>
            </w:pPr>
            <w:r>
              <w:rPr>
                <w:rFonts w:hint="default"/>
                <w:vertAlign w:val="baseline"/>
                <w:lang w:val="en-US"/>
              </w:rPr>
              <w:t>$3.365/thousand gallons</w:t>
            </w:r>
          </w:p>
        </w:tc>
      </w:tr>
      <w:tr w14:paraId="066B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shd w:val="clear"/>
            <w:vAlign w:val="top"/>
          </w:tcPr>
          <w:p w14:paraId="1D80BEE8">
            <w:pPr>
              <w:rPr>
                <w:rFonts w:hint="default" w:asciiTheme="minorHAnsi" w:hAnsiTheme="minorHAnsi" w:eastAsiaTheme="minorEastAsia" w:cstheme="minorBidi"/>
                <w:vertAlign w:val="baseline"/>
                <w:lang w:val="en-US" w:eastAsia="zh-CN" w:bidi="ar-SA"/>
              </w:rPr>
            </w:pPr>
            <w:r>
              <w:rPr>
                <w:rFonts w:hint="default"/>
                <w:vertAlign w:val="baseline"/>
                <w:lang w:val="en-US"/>
              </w:rPr>
              <w:t>5,001-10,000 gallons</w:t>
            </w:r>
          </w:p>
        </w:tc>
        <w:tc>
          <w:tcPr>
            <w:tcW w:w="2841" w:type="dxa"/>
            <w:shd w:val="clear"/>
            <w:vAlign w:val="top"/>
          </w:tcPr>
          <w:p w14:paraId="3E9E6BCB">
            <w:pPr>
              <w:rPr>
                <w:rFonts w:hint="default" w:asciiTheme="minorHAnsi" w:hAnsiTheme="minorHAnsi" w:eastAsiaTheme="minorEastAsia" w:cstheme="minorBidi"/>
                <w:vertAlign w:val="baseline"/>
                <w:lang w:val="en-US" w:eastAsia="zh-CN" w:bidi="ar-SA"/>
              </w:rPr>
            </w:pPr>
            <w:r>
              <w:rPr>
                <w:rFonts w:hint="default"/>
                <w:vertAlign w:val="baseline"/>
                <w:lang w:val="en-US"/>
              </w:rPr>
              <w:t>$8.247/thousand gallons</w:t>
            </w:r>
          </w:p>
        </w:tc>
        <w:tc>
          <w:tcPr>
            <w:tcW w:w="2841" w:type="dxa"/>
            <w:shd w:val="clear" w:color="auto" w:fill="auto"/>
            <w:vAlign w:val="top"/>
          </w:tcPr>
          <w:p w14:paraId="26C1D3EE">
            <w:pPr>
              <w:rPr>
                <w:rFonts w:hint="default" w:asciiTheme="minorHAnsi" w:hAnsiTheme="minorHAnsi" w:eastAsiaTheme="minorEastAsia" w:cstheme="minorBidi"/>
                <w:vertAlign w:val="baseline"/>
                <w:lang w:val="en-US" w:eastAsia="zh-CN" w:bidi="ar-SA"/>
              </w:rPr>
            </w:pPr>
            <w:r>
              <w:rPr>
                <w:rFonts w:hint="default"/>
                <w:vertAlign w:val="baseline"/>
                <w:lang w:val="en-US"/>
              </w:rPr>
              <w:t>$4.038/thousand gallons</w:t>
            </w:r>
          </w:p>
        </w:tc>
      </w:tr>
      <w:tr w14:paraId="5FA1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shd w:val="clear"/>
            <w:vAlign w:val="top"/>
          </w:tcPr>
          <w:p w14:paraId="00068847">
            <w:pPr>
              <w:rPr>
                <w:rFonts w:hint="default" w:asciiTheme="minorHAnsi" w:hAnsiTheme="minorHAnsi" w:eastAsiaTheme="minorEastAsia" w:cstheme="minorBidi"/>
                <w:vertAlign w:val="baseline"/>
                <w:lang w:val="en-US" w:eastAsia="zh-CN" w:bidi="ar-SA"/>
              </w:rPr>
            </w:pPr>
            <w:r>
              <w:rPr>
                <w:rFonts w:hint="default"/>
                <w:vertAlign w:val="baseline"/>
                <w:lang w:val="en-US"/>
              </w:rPr>
              <w:t>10,001-20,000 gallons</w:t>
            </w:r>
          </w:p>
        </w:tc>
        <w:tc>
          <w:tcPr>
            <w:tcW w:w="2841" w:type="dxa"/>
            <w:shd w:val="clear"/>
            <w:vAlign w:val="top"/>
          </w:tcPr>
          <w:p w14:paraId="55717215">
            <w:pPr>
              <w:rPr>
                <w:rFonts w:hint="default" w:asciiTheme="minorHAnsi" w:hAnsiTheme="minorHAnsi" w:eastAsiaTheme="minorEastAsia" w:cstheme="minorBidi"/>
                <w:vertAlign w:val="baseline"/>
                <w:lang w:val="en-US" w:eastAsia="zh-CN" w:bidi="ar-SA"/>
              </w:rPr>
            </w:pPr>
            <w:r>
              <w:rPr>
                <w:rFonts w:hint="default"/>
                <w:vertAlign w:val="baseline"/>
                <w:lang w:val="en-US"/>
              </w:rPr>
              <w:t>$13.745/thousand gallons</w:t>
            </w:r>
          </w:p>
        </w:tc>
        <w:tc>
          <w:tcPr>
            <w:tcW w:w="2841" w:type="dxa"/>
            <w:shd w:val="clear" w:color="auto" w:fill="auto"/>
            <w:vAlign w:val="top"/>
          </w:tcPr>
          <w:p w14:paraId="20FCC30B">
            <w:pPr>
              <w:rPr>
                <w:rFonts w:hint="default" w:asciiTheme="minorHAnsi" w:hAnsiTheme="minorHAnsi" w:eastAsiaTheme="minorEastAsia" w:cstheme="minorBidi"/>
                <w:vertAlign w:val="baseline"/>
                <w:lang w:val="en-US" w:eastAsia="zh-CN" w:bidi="ar-SA"/>
              </w:rPr>
            </w:pPr>
            <w:r>
              <w:rPr>
                <w:rFonts w:hint="default"/>
                <w:vertAlign w:val="baseline"/>
                <w:lang w:val="en-US"/>
              </w:rPr>
              <w:t>$6.787/thousand gallons</w:t>
            </w:r>
          </w:p>
        </w:tc>
      </w:tr>
      <w:tr w14:paraId="156B1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shd w:val="clear"/>
            <w:vAlign w:val="top"/>
          </w:tcPr>
          <w:p w14:paraId="575BAF13">
            <w:pPr>
              <w:rPr>
                <w:rFonts w:hint="default" w:asciiTheme="minorHAnsi" w:hAnsiTheme="minorHAnsi" w:eastAsiaTheme="minorEastAsia" w:cstheme="minorBidi"/>
                <w:vertAlign w:val="baseline"/>
                <w:lang w:val="en-US" w:eastAsia="zh-CN" w:bidi="ar-SA"/>
              </w:rPr>
            </w:pPr>
            <w:r>
              <w:rPr>
                <w:rFonts w:hint="default"/>
                <w:vertAlign w:val="baseline"/>
                <w:lang w:val="en-US"/>
              </w:rPr>
              <w:t>Over 20,000 gallons</w:t>
            </w:r>
          </w:p>
        </w:tc>
        <w:tc>
          <w:tcPr>
            <w:tcW w:w="2841" w:type="dxa"/>
            <w:shd w:val="clear"/>
            <w:vAlign w:val="top"/>
          </w:tcPr>
          <w:p w14:paraId="62854A94">
            <w:pPr>
              <w:rPr>
                <w:rFonts w:hint="default" w:asciiTheme="minorHAnsi" w:hAnsiTheme="minorHAnsi" w:eastAsiaTheme="minorEastAsia" w:cstheme="minorBidi"/>
                <w:vertAlign w:val="baseline"/>
                <w:lang w:val="en-US" w:eastAsia="zh-CN" w:bidi="ar-SA"/>
              </w:rPr>
            </w:pPr>
            <w:r>
              <w:rPr>
                <w:rFonts w:hint="default"/>
                <w:vertAlign w:val="baseline"/>
                <w:lang w:val="en-US"/>
              </w:rPr>
              <w:t>$15.120/thousand gallons</w:t>
            </w:r>
          </w:p>
        </w:tc>
        <w:tc>
          <w:tcPr>
            <w:tcW w:w="2841" w:type="dxa"/>
            <w:shd w:val="clear" w:color="auto" w:fill="auto"/>
            <w:vAlign w:val="top"/>
          </w:tcPr>
          <w:p w14:paraId="6330A47A">
            <w:pPr>
              <w:rPr>
                <w:rFonts w:hint="default" w:asciiTheme="minorHAnsi" w:hAnsiTheme="minorHAnsi" w:eastAsiaTheme="minorEastAsia" w:cstheme="minorBidi"/>
                <w:vertAlign w:val="baseline"/>
                <w:lang w:val="en-US" w:eastAsia="zh-CN" w:bidi="ar-SA"/>
              </w:rPr>
            </w:pPr>
            <w:r>
              <w:rPr>
                <w:rFonts w:hint="default"/>
                <w:vertAlign w:val="baseline"/>
                <w:lang w:val="en-US"/>
              </w:rPr>
              <w:t>$7.403/thousand gallons</w:t>
            </w:r>
          </w:p>
        </w:tc>
      </w:tr>
    </w:tbl>
    <w:p w14:paraId="5B0EA8FF">
      <w:pPr>
        <w:rPr>
          <w:rFonts w:hint="default"/>
          <w:lang w:val="en-US"/>
        </w:rPr>
      </w:pPr>
      <w:r>
        <w:rPr>
          <w:rFonts w:hint="default"/>
          <w:lang w:val="en-US"/>
        </w:rPr>
        <w:t>I understand that there is reason to do this in order to discourage over-usage of water, however if that was so critical, why do non-residential users get a rate that is so much lower. Also, these values are just reflecting the company’s (Aqua Texas) rates for providing this water. Wouldn’t it make more sense if the extra money from the high usage rates goes to the state, the party who is theoretically harmed by this over-usage?</w:t>
      </w:r>
      <w:bookmarkStart w:id="0" w:name="_GoBack"/>
      <w:bookmarkEnd w:id="0"/>
    </w:p>
    <w:p w14:paraId="01728536">
      <w:pPr>
        <w:rPr>
          <w:rFonts w:hint="default"/>
          <w:lang w:val="en-US"/>
        </w:rPr>
      </w:pPr>
    </w:p>
    <w:p w14:paraId="0B563512">
      <w:pPr>
        <w:rPr>
          <w:rFonts w:hint="default"/>
          <w:lang w:val="en-US"/>
        </w:rPr>
      </w:pPr>
      <w:r>
        <w:rPr>
          <w:rFonts w:hint="default"/>
          <w:lang w:val="en-US"/>
        </w:rPr>
        <w:t>And finally, this is a rate increase from a company who has been unable to keep our water on during natural disasters. We have been fed excuses on this, but when it comes down to it, they have been unable to hold up their end of the deal. The company is based in Pennsylvania, not Texas, so if this rate increase is allowed, it’s penalizing the residents for overusing our own resources and not giving that money to the state, who’s problem this will presumably become, but sending it out of state to a company unable to provide consistent service.</w:t>
      </w:r>
    </w:p>
    <w:p w14:paraId="407C227D">
      <w:pPr>
        <w:rPr>
          <w:rFonts w:hint="default"/>
          <w:lang w:val="en-US"/>
        </w:rPr>
      </w:pPr>
    </w:p>
    <w:p w14:paraId="5BD7A8B5">
      <w:pPr>
        <w:rPr>
          <w:rFonts w:hint="default"/>
          <w:lang w:val="en-US"/>
        </w:rPr>
      </w:pPr>
      <w:r>
        <w:rPr>
          <w:rFonts w:hint="default"/>
          <w:lang w:val="en-US"/>
        </w:rPr>
        <w:t>Thank you for your time</w:t>
      </w:r>
    </w:p>
    <w:p w14:paraId="616B738C">
      <w:pPr>
        <w:rPr>
          <w:rFonts w:hint="default"/>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6038E"/>
    <w:rsid w:val="4B660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42</TotalTime>
  <ScaleCrop>false</ScaleCrop>
  <LinksUpToDate>false</LinksUpToDate>
  <CharactersWithSpaces>0</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2025-07-02T15:21:00Z</dcterms:created>
  <dc:creator>Michael</dc:creator>
  <cp:lastModifiedBy>Michael</cp:lastModifiedBy>
  <dcterms:modified xsi:type="dcterms:W3CDTF">2025-07-02T16:04:09Z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77AE7A2FD9884EC884D9D597059DE3C8_11</vt:lpwstr>
  </property>
</Properties>
</file>